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1B" w:rsidRPr="000A2C1B" w:rsidRDefault="00B74543" w:rsidP="000A2C1B">
      <w:pPr>
        <w:pStyle w:val="NormalWeb"/>
        <w:rPr>
          <w:rFonts w:ascii="Segoe UI" w:hAnsi="Segoe UI" w:cs="Segoe UI"/>
          <w:b/>
          <w:lang w:val="en-GB"/>
        </w:rPr>
      </w:pPr>
      <w:r>
        <w:rPr>
          <w:rFonts w:ascii="Segoe UI" w:hAnsi="Segoe UI" w:cs="Segoe UI"/>
          <w:b/>
          <w:lang w:val="en-GB"/>
        </w:rPr>
        <w:t>Quotes from the</w:t>
      </w:r>
      <w:r w:rsidR="000A2C1B" w:rsidRPr="000A2C1B">
        <w:rPr>
          <w:rFonts w:ascii="Segoe UI" w:hAnsi="Segoe UI" w:cs="Segoe UI"/>
          <w:b/>
          <w:lang w:val="en-GB"/>
        </w:rPr>
        <w:t xml:space="preserve"> HSE National </w:t>
      </w:r>
      <w:r w:rsidR="004A4420">
        <w:rPr>
          <w:rFonts w:ascii="Segoe UI" w:hAnsi="Segoe UI" w:cs="Segoe UI"/>
          <w:b/>
          <w:lang w:val="en-GB"/>
        </w:rPr>
        <w:t xml:space="preserve">Office of Research and Development </w:t>
      </w:r>
      <w:r w:rsidR="000A2C1B" w:rsidRPr="000A2C1B">
        <w:rPr>
          <w:rFonts w:ascii="Segoe UI" w:hAnsi="Segoe UI" w:cs="Segoe UI"/>
          <w:b/>
          <w:lang w:val="en-GB"/>
        </w:rPr>
        <w:t>Framework for the Governance, Management and Support of Health Research (RGMS Framework)</w:t>
      </w:r>
      <w:r>
        <w:rPr>
          <w:rFonts w:ascii="Segoe UI" w:hAnsi="Segoe UI" w:cs="Segoe UI"/>
          <w:b/>
          <w:lang w:val="en-GB"/>
        </w:rPr>
        <w:t>, Sept 2021</w:t>
      </w:r>
    </w:p>
    <w:p w:rsidR="004968E7" w:rsidRDefault="004968E7" w:rsidP="000A2C1B">
      <w:pPr>
        <w:pStyle w:val="NormalWeb"/>
        <w:jc w:val="center"/>
        <w:rPr>
          <w:rFonts w:ascii="Segoe UI" w:hAnsi="Segoe UI" w:cs="Segoe UI"/>
          <w:b/>
          <w:lang w:val="en-GB"/>
        </w:rPr>
      </w:pPr>
    </w:p>
    <w:p w:rsidR="007C27A5" w:rsidRPr="007C27A5" w:rsidRDefault="007C27A5" w:rsidP="000A2C1B">
      <w:pPr>
        <w:pStyle w:val="NormalWeb"/>
        <w:jc w:val="center"/>
        <w:rPr>
          <w:rFonts w:ascii="Segoe UI" w:hAnsi="Segoe UI" w:cs="Segoe UI"/>
          <w:b/>
          <w:lang w:val="en-GB"/>
        </w:rPr>
      </w:pPr>
      <w:r>
        <w:rPr>
          <w:rFonts w:ascii="Segoe UI" w:hAnsi="Segoe UI" w:cs="Segoe UI"/>
          <w:b/>
          <w:lang w:val="en-GB"/>
        </w:rPr>
        <w:t>Research Ethics Opinion</w:t>
      </w:r>
    </w:p>
    <w:p w:rsidR="007C27A5" w:rsidRPr="007C27A5" w:rsidRDefault="007C27A5" w:rsidP="007C27A5">
      <w:pPr>
        <w:rPr>
          <w:rFonts w:ascii="Segoe UI" w:hAnsi="Segoe UI" w:cs="Segoe UI"/>
        </w:rPr>
      </w:pPr>
      <w:r w:rsidRPr="007C27A5">
        <w:rPr>
          <w:rFonts w:ascii="Segoe UI" w:hAnsi="Segoe UI" w:cs="Segoe UI"/>
        </w:rPr>
        <w:t>‘Research Ethics opinion should be independent and separate from institutional governance’</w:t>
      </w:r>
    </w:p>
    <w:p w:rsidR="007C27A5" w:rsidRDefault="007C27A5" w:rsidP="007C27A5">
      <w:pPr>
        <w:pStyle w:val="ListParagraph"/>
        <w:numPr>
          <w:ilvl w:val="0"/>
          <w:numId w:val="1"/>
        </w:numPr>
        <w:rPr>
          <w:rFonts w:ascii="Segoe UI" w:hAnsi="Segoe UI" w:cs="Segoe UI"/>
        </w:rPr>
      </w:pPr>
      <w:r w:rsidRPr="007C27A5">
        <w:rPr>
          <w:rFonts w:ascii="Segoe UI" w:hAnsi="Segoe UI" w:cs="Segoe UI"/>
        </w:rPr>
        <w:t>Page 9</w:t>
      </w:r>
    </w:p>
    <w:p w:rsidR="007C27A5" w:rsidRPr="007C27A5" w:rsidRDefault="007C27A5" w:rsidP="007C27A5">
      <w:pPr>
        <w:pStyle w:val="ListParagraph"/>
        <w:rPr>
          <w:rFonts w:ascii="Segoe UI" w:hAnsi="Segoe UI" w:cs="Segoe UI"/>
        </w:rPr>
      </w:pPr>
    </w:p>
    <w:p w:rsidR="000A2C1B" w:rsidRDefault="000A2C1B" w:rsidP="004968E7">
      <w:pPr>
        <w:pStyle w:val="NormalWeb"/>
        <w:jc w:val="center"/>
        <w:rPr>
          <w:rFonts w:ascii="Segoe UI" w:hAnsi="Segoe UI" w:cs="Segoe UI"/>
          <w:b/>
          <w:lang w:val="en-GB"/>
        </w:rPr>
      </w:pPr>
      <w:r w:rsidRPr="000A2C1B">
        <w:rPr>
          <w:rFonts w:ascii="Segoe UI" w:hAnsi="Segoe UI" w:cs="Segoe UI"/>
          <w:b/>
          <w:lang w:val="en-GB"/>
        </w:rPr>
        <w:t>Identifying Data Controllers and Processors</w:t>
      </w:r>
      <w:r w:rsidR="004A4420">
        <w:rPr>
          <w:rFonts w:ascii="Segoe UI" w:hAnsi="Segoe UI" w:cs="Segoe UI"/>
          <w:b/>
          <w:lang w:val="en-GB"/>
        </w:rPr>
        <w:br/>
      </w:r>
    </w:p>
    <w:p w:rsidR="004A4420" w:rsidRPr="007C27A5" w:rsidRDefault="004A4420" w:rsidP="004968E7">
      <w:pPr>
        <w:pStyle w:val="NormalWeb"/>
        <w:jc w:val="center"/>
        <w:rPr>
          <w:rFonts w:ascii="Segoe UI" w:hAnsi="Segoe UI" w:cs="Segoe UI"/>
          <w:lang w:val="en-GB"/>
        </w:rPr>
      </w:pPr>
      <w:r w:rsidRPr="007C27A5">
        <w:rPr>
          <w:rFonts w:ascii="Segoe UI" w:hAnsi="Segoe UI" w:cs="Segoe UI"/>
          <w:b/>
          <w:lang w:val="en-GB"/>
        </w:rPr>
        <w:t>‘</w:t>
      </w:r>
      <w:r w:rsidRPr="007C27A5">
        <w:rPr>
          <w:rFonts w:ascii="Segoe UI" w:hAnsi="Segoe UI" w:cs="Segoe UI"/>
          <w:lang w:val="en-GB"/>
        </w:rPr>
        <w:t>Data protection law requires clear, factual and formal identification of controllership (e.g. sole / separate / joint controllers, data processors).</w:t>
      </w:r>
    </w:p>
    <w:p w:rsidR="004A4420" w:rsidRPr="007C27A5" w:rsidRDefault="004A4420" w:rsidP="004A4420">
      <w:pPr>
        <w:pStyle w:val="NormalWeb"/>
        <w:numPr>
          <w:ilvl w:val="0"/>
          <w:numId w:val="2"/>
        </w:numPr>
        <w:rPr>
          <w:rFonts w:ascii="Segoe UI" w:hAnsi="Segoe UI" w:cs="Segoe UI"/>
          <w:lang w:val="en-GB"/>
        </w:rPr>
      </w:pPr>
      <w:r w:rsidRPr="007C27A5">
        <w:rPr>
          <w:rFonts w:ascii="Segoe UI" w:hAnsi="Segoe UI" w:cs="Segoe UI"/>
          <w:lang w:val="en-GB"/>
        </w:rPr>
        <w:t>page 18</w:t>
      </w:r>
    </w:p>
    <w:p w:rsidR="004A4420" w:rsidRPr="007C27A5" w:rsidRDefault="007C27A5" w:rsidP="004A4420">
      <w:pPr>
        <w:pStyle w:val="NormalWeb"/>
        <w:rPr>
          <w:rFonts w:ascii="Segoe UI" w:hAnsi="Segoe UI" w:cs="Segoe UI"/>
          <w:lang w:val="en-GB"/>
        </w:rPr>
      </w:pPr>
      <w:r w:rsidRPr="00DF771C">
        <w:rPr>
          <w:rFonts w:ascii="Segoe UI" w:hAnsi="Segoe UI" w:cs="Segoe UI"/>
          <w:b/>
          <w:color w:val="FF0000"/>
          <w:lang w:val="en-GB"/>
        </w:rPr>
        <w:t>NB</w:t>
      </w:r>
      <w:r>
        <w:rPr>
          <w:rFonts w:ascii="Segoe UI" w:hAnsi="Segoe UI" w:cs="Segoe UI"/>
          <w:lang w:val="en-GB"/>
        </w:rPr>
        <w:t xml:space="preserve">   ‘</w:t>
      </w:r>
      <w:r w:rsidR="004A4420" w:rsidRPr="007C27A5">
        <w:rPr>
          <w:rFonts w:ascii="Segoe UI" w:hAnsi="Segoe UI" w:cs="Segoe UI"/>
          <w:lang w:val="en-GB"/>
        </w:rPr>
        <w:t>The sponsor…takes responsibility as data controller for the clinical trial’</w:t>
      </w:r>
    </w:p>
    <w:p w:rsidR="008C3697" w:rsidRPr="007C27A5" w:rsidRDefault="008C3697" w:rsidP="008C3697">
      <w:pPr>
        <w:pStyle w:val="NormalWeb"/>
        <w:numPr>
          <w:ilvl w:val="0"/>
          <w:numId w:val="2"/>
        </w:numPr>
        <w:rPr>
          <w:rFonts w:ascii="Segoe UI" w:hAnsi="Segoe UI" w:cs="Segoe UI"/>
          <w:lang w:val="en-GB"/>
        </w:rPr>
      </w:pPr>
      <w:r w:rsidRPr="007C27A5">
        <w:rPr>
          <w:rFonts w:ascii="Segoe UI" w:hAnsi="Segoe UI" w:cs="Segoe UI"/>
          <w:lang w:val="en-GB"/>
        </w:rPr>
        <w:t xml:space="preserve">page 18 </w:t>
      </w:r>
    </w:p>
    <w:p w:rsidR="008C3697" w:rsidRPr="007C27A5" w:rsidRDefault="008C3697" w:rsidP="008C3697">
      <w:pPr>
        <w:pStyle w:val="NormalWeb"/>
        <w:rPr>
          <w:rFonts w:ascii="Segoe UI" w:hAnsi="Segoe UI" w:cs="Segoe UI"/>
          <w:lang w:val="en-GB"/>
        </w:rPr>
      </w:pPr>
      <w:r w:rsidRPr="007C27A5">
        <w:rPr>
          <w:rFonts w:ascii="Segoe UI" w:hAnsi="Segoe UI" w:cs="Segoe UI"/>
          <w:lang w:val="en-GB"/>
        </w:rPr>
        <w:t>‘The HSE is always the data controller of the personal data it holds for the performance of its statutory functions, including the provision of healthcare.  An employee of the HSE will act as an employee of the data controller in the normal course of their duties (e.g. healthcare, clinical audit, quality management) but NOT always for research.’</w:t>
      </w:r>
    </w:p>
    <w:p w:rsidR="008C3697" w:rsidRPr="007C27A5" w:rsidRDefault="005C3F62" w:rsidP="008C3697">
      <w:pPr>
        <w:pStyle w:val="NormalWeb"/>
        <w:numPr>
          <w:ilvl w:val="0"/>
          <w:numId w:val="2"/>
        </w:numPr>
        <w:rPr>
          <w:rFonts w:ascii="Segoe UI" w:hAnsi="Segoe UI" w:cs="Segoe UI"/>
          <w:lang w:val="en-GB"/>
        </w:rPr>
      </w:pPr>
      <w:r w:rsidRPr="007C27A5">
        <w:rPr>
          <w:rFonts w:ascii="Segoe UI" w:hAnsi="Segoe UI" w:cs="Segoe UI"/>
          <w:lang w:val="en-GB"/>
        </w:rPr>
        <w:t>p</w:t>
      </w:r>
      <w:r w:rsidR="008C3697" w:rsidRPr="007C27A5">
        <w:rPr>
          <w:rFonts w:ascii="Segoe UI" w:hAnsi="Segoe UI" w:cs="Segoe UI"/>
          <w:lang w:val="en-GB"/>
        </w:rPr>
        <w:t xml:space="preserve">age </w:t>
      </w:r>
      <w:r w:rsidRPr="007C27A5">
        <w:rPr>
          <w:rFonts w:ascii="Segoe UI" w:hAnsi="Segoe UI" w:cs="Segoe UI"/>
          <w:lang w:val="en-GB"/>
        </w:rPr>
        <w:t>25</w:t>
      </w:r>
    </w:p>
    <w:p w:rsidR="005C3F62" w:rsidRPr="007C27A5" w:rsidRDefault="005C3F62" w:rsidP="005C3F62">
      <w:pPr>
        <w:pStyle w:val="NormalWeb"/>
        <w:rPr>
          <w:rFonts w:ascii="Segoe UI" w:hAnsi="Segoe UI" w:cs="Segoe UI"/>
          <w:lang w:val="en-GB"/>
        </w:rPr>
      </w:pPr>
      <w:r w:rsidRPr="007C27A5">
        <w:rPr>
          <w:rFonts w:ascii="Segoe UI" w:hAnsi="Segoe UI" w:cs="Segoe UI"/>
          <w:lang w:val="en-GB"/>
        </w:rPr>
        <w:t>‘The HSE is not the data controller for personal/health data held in Section 38 acute hospitals which are legally independent organisations with respect to compliance with data protection legislation.’</w:t>
      </w:r>
    </w:p>
    <w:p w:rsidR="000A2C1B" w:rsidRPr="007C27A5" w:rsidRDefault="00DF771C" w:rsidP="007C27A5">
      <w:pPr>
        <w:pStyle w:val="NormalWeb"/>
        <w:numPr>
          <w:ilvl w:val="0"/>
          <w:numId w:val="2"/>
        </w:numPr>
        <w:rPr>
          <w:rFonts w:ascii="Segoe UI" w:hAnsi="Segoe UI" w:cs="Segoe UI"/>
          <w:lang w:val="en-GB"/>
        </w:rPr>
      </w:pPr>
      <w:r>
        <w:rPr>
          <w:rFonts w:ascii="Segoe UI" w:hAnsi="Segoe UI" w:cs="Segoe UI"/>
          <w:lang w:val="en-GB"/>
        </w:rPr>
        <w:t>p</w:t>
      </w:r>
      <w:r w:rsidR="005C3F62" w:rsidRPr="007C27A5">
        <w:rPr>
          <w:rFonts w:ascii="Segoe UI" w:hAnsi="Segoe UI" w:cs="Segoe UI"/>
          <w:lang w:val="en-GB"/>
        </w:rPr>
        <w:t>age 25</w:t>
      </w:r>
    </w:p>
    <w:p w:rsidR="00550051" w:rsidRPr="007C27A5" w:rsidRDefault="00DF771C" w:rsidP="00550051">
      <w:pPr>
        <w:autoSpaceDE w:val="0"/>
        <w:autoSpaceDN w:val="0"/>
        <w:adjustRightInd w:val="0"/>
        <w:spacing w:after="0" w:line="240" w:lineRule="auto"/>
        <w:rPr>
          <w:rFonts w:ascii="Segoe UI" w:hAnsi="Segoe UI" w:cs="Segoe UI"/>
          <w:sz w:val="24"/>
          <w:szCs w:val="24"/>
        </w:rPr>
      </w:pPr>
      <w:r>
        <w:rPr>
          <w:rFonts w:ascii="Segoe UI" w:hAnsi="Segoe UI" w:cs="Segoe UI"/>
          <w:sz w:val="24"/>
          <w:szCs w:val="24"/>
        </w:rPr>
        <w:t>‘</w:t>
      </w:r>
      <w:r w:rsidR="00550051" w:rsidRPr="007C27A5">
        <w:rPr>
          <w:rFonts w:ascii="Segoe UI" w:hAnsi="Segoe UI" w:cs="Segoe UI"/>
          <w:sz w:val="24"/>
          <w:szCs w:val="24"/>
        </w:rPr>
        <w:t xml:space="preserve">The data controller for a research study is </w:t>
      </w:r>
      <w:r w:rsidR="00550051" w:rsidRPr="007C27A5">
        <w:rPr>
          <w:rFonts w:ascii="Segoe UI" w:hAnsi="Segoe UI" w:cs="Segoe UI"/>
          <w:sz w:val="24"/>
          <w:szCs w:val="24"/>
          <w:u w:val="single"/>
        </w:rPr>
        <w:t>the organisation</w:t>
      </w:r>
      <w:r w:rsidR="00550051" w:rsidRPr="007C27A5">
        <w:rPr>
          <w:rFonts w:ascii="Segoe UI" w:hAnsi="Segoe UI" w:cs="Segoe UI"/>
          <w:sz w:val="24"/>
          <w:szCs w:val="24"/>
        </w:rPr>
        <w:t xml:space="preserve"> that determines the</w:t>
      </w:r>
    </w:p>
    <w:p w:rsidR="00550051" w:rsidRPr="007C27A5" w:rsidRDefault="00550051" w:rsidP="00550051">
      <w:pPr>
        <w:autoSpaceDE w:val="0"/>
        <w:autoSpaceDN w:val="0"/>
        <w:adjustRightInd w:val="0"/>
        <w:spacing w:after="0" w:line="240" w:lineRule="auto"/>
        <w:rPr>
          <w:rFonts w:ascii="Segoe UI" w:hAnsi="Segoe UI" w:cs="Segoe UI"/>
          <w:b/>
          <w:bCs/>
          <w:sz w:val="24"/>
          <w:szCs w:val="24"/>
        </w:rPr>
      </w:pPr>
      <w:proofErr w:type="gramStart"/>
      <w:r w:rsidRPr="007C27A5">
        <w:rPr>
          <w:rFonts w:ascii="Segoe UI" w:hAnsi="Segoe UI" w:cs="Segoe UI"/>
          <w:sz w:val="24"/>
          <w:szCs w:val="24"/>
        </w:rPr>
        <w:t>purpose</w:t>
      </w:r>
      <w:proofErr w:type="gramEnd"/>
      <w:r w:rsidRPr="007C27A5">
        <w:rPr>
          <w:rFonts w:ascii="Segoe UI" w:hAnsi="Segoe UI" w:cs="Segoe UI"/>
          <w:sz w:val="24"/>
          <w:szCs w:val="24"/>
        </w:rPr>
        <w:t xml:space="preserve"> and the manner by which personal data are processed </w:t>
      </w:r>
      <w:r w:rsidRPr="007C27A5">
        <w:rPr>
          <w:rFonts w:ascii="Segoe UI" w:hAnsi="Segoe UI" w:cs="Segoe UI"/>
          <w:b/>
          <w:bCs/>
          <w:sz w:val="24"/>
          <w:szCs w:val="24"/>
        </w:rPr>
        <w:t>for the research</w:t>
      </w:r>
    </w:p>
    <w:p w:rsidR="008E3A47" w:rsidRDefault="00550051" w:rsidP="00550051">
      <w:pPr>
        <w:autoSpaceDE w:val="0"/>
        <w:autoSpaceDN w:val="0"/>
        <w:adjustRightInd w:val="0"/>
        <w:spacing w:after="0" w:line="240" w:lineRule="auto"/>
        <w:rPr>
          <w:rFonts w:ascii="Segoe UI" w:hAnsi="Segoe UI" w:cs="Segoe UI"/>
          <w:sz w:val="24"/>
          <w:szCs w:val="24"/>
        </w:rPr>
      </w:pPr>
      <w:proofErr w:type="gramStart"/>
      <w:r w:rsidRPr="007C27A5">
        <w:rPr>
          <w:rFonts w:ascii="Segoe UI" w:hAnsi="Segoe UI" w:cs="Segoe UI"/>
          <w:b/>
          <w:bCs/>
          <w:sz w:val="24"/>
          <w:szCs w:val="24"/>
        </w:rPr>
        <w:t>study</w:t>
      </w:r>
      <w:proofErr w:type="gramEnd"/>
      <w:r w:rsidRPr="007C27A5">
        <w:rPr>
          <w:rFonts w:ascii="Segoe UI" w:hAnsi="Segoe UI" w:cs="Segoe UI"/>
          <w:b/>
          <w:bCs/>
          <w:sz w:val="24"/>
          <w:szCs w:val="24"/>
        </w:rPr>
        <w:t xml:space="preserve"> </w:t>
      </w:r>
      <w:r w:rsidRPr="007C27A5">
        <w:rPr>
          <w:rFonts w:ascii="Segoe UI" w:hAnsi="Segoe UI" w:cs="Segoe UI"/>
          <w:sz w:val="24"/>
          <w:szCs w:val="24"/>
        </w:rPr>
        <w:t xml:space="preserve">(i.e. ‘Whom’, ‘Why’, ‘How’). </w:t>
      </w:r>
      <w:r w:rsidR="00DF771C">
        <w:rPr>
          <w:rFonts w:ascii="Segoe UI" w:hAnsi="Segoe UI" w:cs="Segoe UI"/>
          <w:sz w:val="24"/>
          <w:szCs w:val="24"/>
        </w:rPr>
        <w:t>‘</w:t>
      </w:r>
    </w:p>
    <w:p w:rsidR="00DF771C" w:rsidRPr="007C27A5" w:rsidRDefault="00DF771C" w:rsidP="00550051">
      <w:pPr>
        <w:autoSpaceDE w:val="0"/>
        <w:autoSpaceDN w:val="0"/>
        <w:adjustRightInd w:val="0"/>
        <w:spacing w:after="0" w:line="240" w:lineRule="auto"/>
        <w:rPr>
          <w:rFonts w:ascii="Segoe UI" w:hAnsi="Segoe UI" w:cs="Segoe UI"/>
          <w:sz w:val="24"/>
          <w:szCs w:val="24"/>
        </w:rPr>
      </w:pPr>
    </w:p>
    <w:p w:rsidR="00DF771C" w:rsidRPr="007C27A5" w:rsidRDefault="00DF771C" w:rsidP="00DF771C">
      <w:pPr>
        <w:pStyle w:val="ListParagraph"/>
        <w:numPr>
          <w:ilvl w:val="0"/>
          <w:numId w:val="1"/>
        </w:numPr>
        <w:rPr>
          <w:rFonts w:ascii="Segoe UI" w:hAnsi="Segoe UI" w:cs="Segoe UI"/>
          <w:sz w:val="24"/>
          <w:szCs w:val="24"/>
        </w:rPr>
      </w:pPr>
      <w:r>
        <w:rPr>
          <w:rFonts w:ascii="Segoe UI" w:hAnsi="Segoe UI" w:cs="Segoe UI"/>
          <w:sz w:val="24"/>
          <w:szCs w:val="24"/>
        </w:rPr>
        <w:t>p</w:t>
      </w:r>
      <w:r w:rsidRPr="007C27A5">
        <w:rPr>
          <w:rFonts w:ascii="Segoe UI" w:hAnsi="Segoe UI" w:cs="Segoe UI"/>
          <w:sz w:val="24"/>
          <w:szCs w:val="24"/>
        </w:rPr>
        <w:t>age 25</w:t>
      </w:r>
    </w:p>
    <w:p w:rsidR="008E3A47" w:rsidRPr="007C27A5" w:rsidRDefault="008E3A47" w:rsidP="00550051">
      <w:pPr>
        <w:autoSpaceDE w:val="0"/>
        <w:autoSpaceDN w:val="0"/>
        <w:adjustRightInd w:val="0"/>
        <w:spacing w:after="0" w:line="240" w:lineRule="auto"/>
        <w:rPr>
          <w:rFonts w:ascii="Segoe UI" w:hAnsi="Segoe UI" w:cs="Segoe UI"/>
          <w:sz w:val="24"/>
          <w:szCs w:val="24"/>
        </w:rPr>
      </w:pPr>
    </w:p>
    <w:p w:rsidR="008E3A47" w:rsidRPr="007C27A5" w:rsidRDefault="00DF771C" w:rsidP="008E3A47">
      <w:pPr>
        <w:autoSpaceDE w:val="0"/>
        <w:autoSpaceDN w:val="0"/>
        <w:adjustRightInd w:val="0"/>
        <w:spacing w:after="0" w:line="240" w:lineRule="auto"/>
        <w:rPr>
          <w:rFonts w:ascii="Segoe UI" w:hAnsi="Segoe UI" w:cs="Segoe UI"/>
          <w:sz w:val="24"/>
          <w:szCs w:val="24"/>
        </w:rPr>
      </w:pPr>
      <w:r>
        <w:rPr>
          <w:rFonts w:ascii="Segoe UI" w:hAnsi="Segoe UI" w:cs="Segoe UI"/>
          <w:sz w:val="24"/>
          <w:szCs w:val="24"/>
        </w:rPr>
        <w:t>‘</w:t>
      </w:r>
      <w:r w:rsidR="00550051" w:rsidRPr="007C27A5">
        <w:rPr>
          <w:rFonts w:ascii="Segoe UI" w:hAnsi="Segoe UI" w:cs="Segoe UI"/>
          <w:sz w:val="24"/>
          <w:szCs w:val="24"/>
        </w:rPr>
        <w:t>If the organisation takes these decisions</w:t>
      </w:r>
      <w:r w:rsidR="008E3A47" w:rsidRPr="007C27A5">
        <w:rPr>
          <w:rFonts w:ascii="Segoe UI" w:hAnsi="Segoe UI" w:cs="Segoe UI"/>
          <w:sz w:val="24"/>
          <w:szCs w:val="24"/>
        </w:rPr>
        <w:t xml:space="preserve"> </w:t>
      </w:r>
      <w:r w:rsidR="00550051" w:rsidRPr="007C27A5">
        <w:rPr>
          <w:rFonts w:ascii="Segoe UI" w:hAnsi="Segoe UI" w:cs="Segoe UI"/>
          <w:sz w:val="24"/>
          <w:szCs w:val="24"/>
        </w:rPr>
        <w:t>with another organisation, they must specify the nature of their respective</w:t>
      </w:r>
      <w:r w:rsidR="008E3A47" w:rsidRPr="007C27A5">
        <w:rPr>
          <w:rFonts w:ascii="Segoe UI" w:hAnsi="Segoe UI" w:cs="Segoe UI"/>
          <w:sz w:val="24"/>
          <w:szCs w:val="24"/>
        </w:rPr>
        <w:t xml:space="preserve"> </w:t>
      </w:r>
      <w:r w:rsidR="00550051" w:rsidRPr="007C27A5">
        <w:rPr>
          <w:rFonts w:ascii="Segoe UI" w:hAnsi="Segoe UI" w:cs="Segoe UI"/>
          <w:sz w:val="24"/>
          <w:szCs w:val="24"/>
        </w:rPr>
        <w:t xml:space="preserve">controllership (i.e. </w:t>
      </w:r>
      <w:r w:rsidR="007C27A5">
        <w:rPr>
          <w:rFonts w:ascii="Segoe UI" w:hAnsi="Segoe UI" w:cs="Segoe UI"/>
          <w:sz w:val="24"/>
          <w:szCs w:val="24"/>
        </w:rPr>
        <w:t>separate or joint controllers).’</w:t>
      </w:r>
    </w:p>
    <w:p w:rsidR="007C27A5" w:rsidRPr="007C27A5" w:rsidRDefault="007C27A5" w:rsidP="007C27A5">
      <w:pPr>
        <w:autoSpaceDE w:val="0"/>
        <w:autoSpaceDN w:val="0"/>
        <w:adjustRightInd w:val="0"/>
        <w:spacing w:after="0" w:line="240" w:lineRule="auto"/>
        <w:rPr>
          <w:rFonts w:ascii="Segoe UI" w:hAnsi="Segoe UI" w:cs="Segoe UI"/>
          <w:sz w:val="24"/>
          <w:szCs w:val="24"/>
        </w:rPr>
      </w:pPr>
    </w:p>
    <w:p w:rsidR="007C27A5" w:rsidRPr="00DF771C" w:rsidRDefault="007C27A5" w:rsidP="00DF771C">
      <w:pPr>
        <w:pStyle w:val="ListParagraph"/>
        <w:numPr>
          <w:ilvl w:val="0"/>
          <w:numId w:val="1"/>
        </w:numPr>
        <w:rPr>
          <w:rFonts w:ascii="Segoe UI" w:hAnsi="Segoe UI" w:cs="Segoe UI"/>
          <w:sz w:val="24"/>
          <w:szCs w:val="24"/>
        </w:rPr>
      </w:pPr>
      <w:r w:rsidRPr="007C27A5">
        <w:rPr>
          <w:rFonts w:ascii="Segoe UI" w:hAnsi="Segoe UI" w:cs="Segoe UI"/>
          <w:sz w:val="24"/>
          <w:szCs w:val="24"/>
        </w:rPr>
        <w:t>Page 25</w:t>
      </w:r>
    </w:p>
    <w:p w:rsidR="00247A79" w:rsidRPr="007C27A5" w:rsidRDefault="007C27A5" w:rsidP="008E3A47">
      <w:pPr>
        <w:autoSpaceDE w:val="0"/>
        <w:autoSpaceDN w:val="0"/>
        <w:adjustRightInd w:val="0"/>
        <w:spacing w:after="0" w:line="240" w:lineRule="auto"/>
        <w:rPr>
          <w:rFonts w:ascii="Segoe UI" w:hAnsi="Segoe UI" w:cs="Segoe UI"/>
          <w:sz w:val="24"/>
          <w:szCs w:val="24"/>
        </w:rPr>
      </w:pPr>
      <w:r>
        <w:rPr>
          <w:rFonts w:ascii="Segoe UI" w:hAnsi="Segoe UI" w:cs="Segoe UI"/>
          <w:sz w:val="24"/>
          <w:szCs w:val="24"/>
        </w:rPr>
        <w:t>‘</w:t>
      </w:r>
      <w:r w:rsidR="00550051" w:rsidRPr="007C27A5">
        <w:rPr>
          <w:rFonts w:ascii="Segoe UI" w:hAnsi="Segoe UI" w:cs="Segoe UI"/>
          <w:sz w:val="24"/>
          <w:szCs w:val="24"/>
        </w:rPr>
        <w:t>Controllership is determined</w:t>
      </w:r>
      <w:r w:rsidR="008E3A47" w:rsidRPr="007C27A5">
        <w:rPr>
          <w:rFonts w:ascii="Segoe UI" w:hAnsi="Segoe UI" w:cs="Segoe UI"/>
          <w:sz w:val="24"/>
          <w:szCs w:val="24"/>
        </w:rPr>
        <w:t xml:space="preserve"> </w:t>
      </w:r>
      <w:r w:rsidR="00550051" w:rsidRPr="007C27A5">
        <w:rPr>
          <w:rFonts w:ascii="Segoe UI" w:hAnsi="Segoe UI" w:cs="Segoe UI"/>
          <w:sz w:val="24"/>
          <w:szCs w:val="24"/>
        </w:rPr>
        <w:t>based on the factual elements and the circumstances of the research study,</w:t>
      </w:r>
      <w:r w:rsidR="008E3A47" w:rsidRPr="007C27A5">
        <w:rPr>
          <w:rFonts w:ascii="Segoe UI" w:hAnsi="Segoe UI" w:cs="Segoe UI"/>
          <w:sz w:val="24"/>
          <w:szCs w:val="24"/>
        </w:rPr>
        <w:t xml:space="preserve"> </w:t>
      </w:r>
      <w:r w:rsidR="00550051" w:rsidRPr="007C27A5">
        <w:rPr>
          <w:rFonts w:ascii="Segoe UI" w:hAnsi="Segoe UI" w:cs="Segoe UI"/>
          <w:sz w:val="24"/>
          <w:szCs w:val="24"/>
        </w:rPr>
        <w:t>and the type of controllership determines the roles and responsibilities of the</w:t>
      </w:r>
      <w:r w:rsidR="008E3A47" w:rsidRPr="007C27A5">
        <w:rPr>
          <w:rFonts w:ascii="Segoe UI" w:hAnsi="Segoe UI" w:cs="Segoe UI"/>
          <w:sz w:val="24"/>
          <w:szCs w:val="24"/>
        </w:rPr>
        <w:t xml:space="preserve"> </w:t>
      </w:r>
      <w:r w:rsidR="00DF771C">
        <w:rPr>
          <w:rFonts w:ascii="Segoe UI" w:hAnsi="Segoe UI" w:cs="Segoe UI"/>
          <w:sz w:val="24"/>
          <w:szCs w:val="24"/>
        </w:rPr>
        <w:t>organisation.’</w:t>
      </w:r>
    </w:p>
    <w:p w:rsidR="008E3A47" w:rsidRPr="007C27A5" w:rsidRDefault="008E3A47" w:rsidP="008E3A47">
      <w:pPr>
        <w:autoSpaceDE w:val="0"/>
        <w:autoSpaceDN w:val="0"/>
        <w:adjustRightInd w:val="0"/>
        <w:spacing w:after="0" w:line="240" w:lineRule="auto"/>
        <w:rPr>
          <w:rFonts w:ascii="Segoe UI" w:hAnsi="Segoe UI" w:cs="Segoe UI"/>
          <w:sz w:val="24"/>
          <w:szCs w:val="24"/>
        </w:rPr>
      </w:pPr>
    </w:p>
    <w:p w:rsidR="00DF771C" w:rsidRPr="00DF771C" w:rsidRDefault="00550051" w:rsidP="00DF771C">
      <w:pPr>
        <w:pStyle w:val="ListParagraph"/>
        <w:numPr>
          <w:ilvl w:val="0"/>
          <w:numId w:val="1"/>
        </w:numPr>
        <w:rPr>
          <w:rFonts w:ascii="Segoe UI" w:hAnsi="Segoe UI" w:cs="Segoe UI"/>
          <w:sz w:val="24"/>
          <w:szCs w:val="24"/>
        </w:rPr>
      </w:pPr>
      <w:r w:rsidRPr="007C27A5">
        <w:rPr>
          <w:rFonts w:ascii="Segoe UI" w:hAnsi="Segoe UI" w:cs="Segoe UI"/>
          <w:sz w:val="24"/>
          <w:szCs w:val="24"/>
        </w:rPr>
        <w:t>Page 25</w:t>
      </w:r>
    </w:p>
    <w:p w:rsidR="00550051" w:rsidRPr="007C27A5" w:rsidRDefault="00DF771C" w:rsidP="00550051">
      <w:pPr>
        <w:rPr>
          <w:rFonts w:ascii="Segoe UI" w:hAnsi="Segoe UI" w:cs="Segoe UI"/>
          <w:sz w:val="24"/>
          <w:szCs w:val="24"/>
        </w:rPr>
      </w:pPr>
      <w:r w:rsidRPr="00DF771C">
        <w:rPr>
          <w:rFonts w:ascii="Segoe UI" w:hAnsi="Segoe UI" w:cs="Segoe UI"/>
          <w:b/>
          <w:color w:val="FF0000"/>
          <w:lang w:val="en-GB"/>
        </w:rPr>
        <w:t>NB</w:t>
      </w:r>
      <w:r>
        <w:rPr>
          <w:rFonts w:ascii="Segoe UI" w:hAnsi="Segoe UI" w:cs="Segoe UI"/>
          <w:lang w:val="en-GB"/>
        </w:rPr>
        <w:t xml:space="preserve"> </w:t>
      </w:r>
      <w:r>
        <w:rPr>
          <w:rFonts w:ascii="Segoe UI" w:hAnsi="Segoe UI" w:cs="Segoe UI"/>
          <w:lang w:val="en-GB"/>
        </w:rPr>
        <w:t xml:space="preserve">  </w:t>
      </w:r>
      <w:r w:rsidR="005C3F62" w:rsidRPr="007C27A5">
        <w:rPr>
          <w:rFonts w:ascii="Segoe UI" w:hAnsi="Segoe UI" w:cs="Segoe UI"/>
          <w:sz w:val="24"/>
          <w:szCs w:val="24"/>
        </w:rPr>
        <w:t>‘A PI employed by a healthcare delivery organisation (i.e. hospital, community or national services) acts as the employee of the data controller and is not, (in his own right), the data controller of personal data held by the organisation employing them.  In such cases, the PI acts on behalf of the data controller and is responsible, along with the data controller, for ensuring compliance with GDPR and S. 36 (2) (Health Research) of the Data Protection Act 2018 and subsequent amendments.’</w:t>
      </w:r>
    </w:p>
    <w:p w:rsidR="008C0AA7" w:rsidRPr="007C27A5" w:rsidRDefault="008C0AA7" w:rsidP="008C0AA7">
      <w:pPr>
        <w:pStyle w:val="ListParagraph"/>
        <w:numPr>
          <w:ilvl w:val="0"/>
          <w:numId w:val="1"/>
        </w:numPr>
        <w:rPr>
          <w:rFonts w:ascii="Segoe UI" w:hAnsi="Segoe UI" w:cs="Segoe UI"/>
          <w:sz w:val="24"/>
          <w:szCs w:val="24"/>
        </w:rPr>
      </w:pPr>
      <w:r w:rsidRPr="007C27A5">
        <w:rPr>
          <w:rFonts w:ascii="Segoe UI" w:hAnsi="Segoe UI" w:cs="Segoe UI"/>
          <w:sz w:val="24"/>
          <w:szCs w:val="24"/>
        </w:rPr>
        <w:t>Page 26</w:t>
      </w:r>
    </w:p>
    <w:p w:rsidR="008C0AA7" w:rsidRPr="007C27A5" w:rsidRDefault="008C0AA7" w:rsidP="008C0AA7">
      <w:pPr>
        <w:rPr>
          <w:rFonts w:ascii="Segoe UI" w:hAnsi="Segoe UI" w:cs="Segoe UI"/>
          <w:sz w:val="24"/>
          <w:szCs w:val="24"/>
        </w:rPr>
      </w:pPr>
      <w:r w:rsidRPr="007C27A5">
        <w:rPr>
          <w:rFonts w:ascii="Segoe UI" w:hAnsi="Segoe UI" w:cs="Segoe UI"/>
          <w:sz w:val="24"/>
          <w:szCs w:val="24"/>
        </w:rPr>
        <w:t>‘In limited circumstances it is possible for the PI to act as data controller if not acting as an employee of the HSE.’</w:t>
      </w:r>
    </w:p>
    <w:p w:rsidR="008C0AA7" w:rsidRPr="007C27A5" w:rsidRDefault="008C0AA7" w:rsidP="008C0AA7">
      <w:pPr>
        <w:pStyle w:val="ListParagraph"/>
        <w:numPr>
          <w:ilvl w:val="0"/>
          <w:numId w:val="1"/>
        </w:numPr>
        <w:rPr>
          <w:rFonts w:ascii="Segoe UI" w:hAnsi="Segoe UI" w:cs="Segoe UI"/>
          <w:sz w:val="24"/>
          <w:szCs w:val="24"/>
        </w:rPr>
      </w:pPr>
      <w:r w:rsidRPr="007C27A5">
        <w:rPr>
          <w:rFonts w:ascii="Segoe UI" w:hAnsi="Segoe UI" w:cs="Segoe UI"/>
          <w:sz w:val="24"/>
          <w:szCs w:val="24"/>
        </w:rPr>
        <w:t>Page 26</w:t>
      </w:r>
    </w:p>
    <w:p w:rsidR="008C0AA7" w:rsidRPr="007C27A5" w:rsidRDefault="00DF771C" w:rsidP="008C0AA7">
      <w:pPr>
        <w:rPr>
          <w:rFonts w:ascii="Segoe UI" w:hAnsi="Segoe UI" w:cs="Segoe UI"/>
          <w:sz w:val="24"/>
          <w:szCs w:val="24"/>
        </w:rPr>
      </w:pPr>
      <w:r w:rsidRPr="00DF771C">
        <w:rPr>
          <w:rFonts w:ascii="Segoe UI" w:hAnsi="Segoe UI" w:cs="Segoe UI"/>
          <w:b/>
          <w:color w:val="FF0000"/>
          <w:lang w:val="en-GB"/>
        </w:rPr>
        <w:t>NB</w:t>
      </w:r>
      <w:r>
        <w:rPr>
          <w:rFonts w:ascii="Segoe UI" w:hAnsi="Segoe UI" w:cs="Segoe UI"/>
          <w:lang w:val="en-GB"/>
        </w:rPr>
        <w:t xml:space="preserve"> </w:t>
      </w:r>
      <w:r>
        <w:rPr>
          <w:rFonts w:ascii="Segoe UI" w:hAnsi="Segoe UI" w:cs="Segoe UI"/>
          <w:lang w:val="en-GB"/>
        </w:rPr>
        <w:t xml:space="preserve"> </w:t>
      </w:r>
      <w:r w:rsidR="008C0AA7" w:rsidRPr="007C27A5">
        <w:rPr>
          <w:rFonts w:ascii="Segoe UI" w:hAnsi="Segoe UI" w:cs="Segoe UI"/>
          <w:sz w:val="24"/>
          <w:szCs w:val="24"/>
        </w:rPr>
        <w:t>‘Where HSE staff hold a dual affiliation, they must decide which organisation (i.e. the HSE, or the academic/other organisation) they will represent for the whole duration of the research study, and this determination must be done and confirmed in writing with the RGMS before the start of the research study</w:t>
      </w:r>
      <w:r w:rsidR="004024C0" w:rsidRPr="007C27A5">
        <w:rPr>
          <w:rFonts w:ascii="Segoe UI" w:hAnsi="Segoe UI" w:cs="Segoe UI"/>
          <w:sz w:val="24"/>
          <w:szCs w:val="24"/>
        </w:rPr>
        <w:t>.  This is a vital requirement for the correct determination of controllership between the collaborative organisations.’</w:t>
      </w:r>
    </w:p>
    <w:p w:rsidR="004024C0" w:rsidRPr="007C27A5" w:rsidRDefault="004024C0" w:rsidP="004024C0">
      <w:pPr>
        <w:pStyle w:val="ListParagraph"/>
        <w:numPr>
          <w:ilvl w:val="0"/>
          <w:numId w:val="1"/>
        </w:numPr>
        <w:rPr>
          <w:rFonts w:ascii="Segoe UI" w:hAnsi="Segoe UI" w:cs="Segoe UI"/>
          <w:sz w:val="24"/>
          <w:szCs w:val="24"/>
        </w:rPr>
      </w:pPr>
      <w:r w:rsidRPr="007C27A5">
        <w:rPr>
          <w:rFonts w:ascii="Segoe UI" w:hAnsi="Segoe UI" w:cs="Segoe UI"/>
          <w:sz w:val="24"/>
          <w:szCs w:val="24"/>
        </w:rPr>
        <w:t>Page 26</w:t>
      </w:r>
    </w:p>
    <w:p w:rsidR="004024C0" w:rsidRPr="007C27A5" w:rsidRDefault="004024C0" w:rsidP="004024C0">
      <w:pPr>
        <w:rPr>
          <w:rFonts w:ascii="Segoe UI" w:hAnsi="Segoe UI" w:cs="Segoe UI"/>
          <w:sz w:val="24"/>
          <w:szCs w:val="24"/>
        </w:rPr>
      </w:pPr>
      <w:r w:rsidRPr="007C27A5">
        <w:rPr>
          <w:rFonts w:ascii="Segoe UI" w:hAnsi="Segoe UI" w:cs="Segoe UI"/>
          <w:sz w:val="24"/>
          <w:szCs w:val="24"/>
        </w:rPr>
        <w:t>‘A data processor is anyone who processes personal data on behalf of the data controller following strict instructions.  Data processors should solely process data as requested by the data controller, and must be a separate legal entity from the data controller.  A processor becomes a controller if it does not follow the controller’s instructions.’</w:t>
      </w:r>
    </w:p>
    <w:p w:rsidR="004024C0" w:rsidRPr="007C27A5" w:rsidRDefault="00DF771C" w:rsidP="004024C0">
      <w:pPr>
        <w:pStyle w:val="ListParagraph"/>
        <w:numPr>
          <w:ilvl w:val="0"/>
          <w:numId w:val="1"/>
        </w:numPr>
        <w:rPr>
          <w:rFonts w:ascii="Segoe UI" w:hAnsi="Segoe UI" w:cs="Segoe UI"/>
          <w:sz w:val="24"/>
          <w:szCs w:val="24"/>
        </w:rPr>
      </w:pPr>
      <w:r>
        <w:rPr>
          <w:rFonts w:ascii="Segoe UI" w:hAnsi="Segoe UI" w:cs="Segoe UI"/>
          <w:sz w:val="24"/>
          <w:szCs w:val="24"/>
        </w:rPr>
        <w:t>p</w:t>
      </w:r>
      <w:r w:rsidR="004024C0" w:rsidRPr="007C27A5">
        <w:rPr>
          <w:rFonts w:ascii="Segoe UI" w:hAnsi="Segoe UI" w:cs="Segoe UI"/>
          <w:sz w:val="24"/>
          <w:szCs w:val="24"/>
        </w:rPr>
        <w:t>age 26</w:t>
      </w:r>
    </w:p>
    <w:p w:rsidR="004024C0" w:rsidRPr="007C27A5" w:rsidRDefault="00DF771C" w:rsidP="004024C0">
      <w:pPr>
        <w:rPr>
          <w:rFonts w:ascii="Segoe UI" w:hAnsi="Segoe UI" w:cs="Segoe UI"/>
          <w:sz w:val="24"/>
          <w:szCs w:val="24"/>
        </w:rPr>
      </w:pPr>
      <w:proofErr w:type="gramStart"/>
      <w:r w:rsidRPr="00DF771C">
        <w:rPr>
          <w:rFonts w:ascii="Segoe UI" w:hAnsi="Segoe UI" w:cs="Segoe UI"/>
          <w:b/>
          <w:color w:val="FF0000"/>
          <w:lang w:val="en-GB"/>
        </w:rPr>
        <w:lastRenderedPageBreak/>
        <w:t>NB</w:t>
      </w:r>
      <w:r w:rsidRPr="007C27A5">
        <w:rPr>
          <w:rFonts w:ascii="Segoe UI" w:hAnsi="Segoe UI" w:cs="Segoe UI"/>
          <w:sz w:val="24"/>
          <w:szCs w:val="24"/>
        </w:rPr>
        <w:t xml:space="preserve"> </w:t>
      </w:r>
      <w:r>
        <w:rPr>
          <w:rFonts w:ascii="Segoe UI" w:hAnsi="Segoe UI" w:cs="Segoe UI"/>
          <w:sz w:val="24"/>
          <w:szCs w:val="24"/>
        </w:rPr>
        <w:t xml:space="preserve"> </w:t>
      </w:r>
      <w:r w:rsidR="00B94686" w:rsidRPr="007C27A5">
        <w:rPr>
          <w:rFonts w:ascii="Segoe UI" w:hAnsi="Segoe UI" w:cs="Segoe UI"/>
          <w:sz w:val="24"/>
          <w:szCs w:val="24"/>
        </w:rPr>
        <w:t>‘Where</w:t>
      </w:r>
      <w:proofErr w:type="gramEnd"/>
      <w:r w:rsidR="00B94686" w:rsidRPr="007C27A5">
        <w:rPr>
          <w:rFonts w:ascii="Segoe UI" w:hAnsi="Segoe UI" w:cs="Segoe UI"/>
          <w:sz w:val="24"/>
          <w:szCs w:val="24"/>
        </w:rPr>
        <w:t xml:space="preserve"> an employee of the HSE collaborates on a research study with a third-party, the HSE governance arrangements should ensure that such a situation is appropriately registered.  An appropriate determination of controllership must be done based on factual elements and the circumstance of the research study to determine if the HSE (and the PI or researcher it employees acting on its behalf) acts as a controller or processor for the purposes of the research study.</w:t>
      </w:r>
      <w:r>
        <w:rPr>
          <w:rFonts w:ascii="Segoe UI" w:hAnsi="Segoe UI" w:cs="Segoe UI"/>
          <w:sz w:val="24"/>
          <w:szCs w:val="24"/>
        </w:rPr>
        <w:t>’</w:t>
      </w:r>
    </w:p>
    <w:p w:rsidR="00B94686" w:rsidRPr="007C27A5" w:rsidRDefault="00DF771C" w:rsidP="00B94686">
      <w:pPr>
        <w:pStyle w:val="ListParagraph"/>
        <w:numPr>
          <w:ilvl w:val="0"/>
          <w:numId w:val="1"/>
        </w:numPr>
        <w:rPr>
          <w:rFonts w:ascii="Segoe UI" w:hAnsi="Segoe UI" w:cs="Segoe UI"/>
          <w:sz w:val="24"/>
          <w:szCs w:val="24"/>
        </w:rPr>
      </w:pPr>
      <w:r>
        <w:rPr>
          <w:rFonts w:ascii="Segoe UI" w:hAnsi="Segoe UI" w:cs="Segoe UI"/>
          <w:sz w:val="24"/>
          <w:szCs w:val="24"/>
        </w:rPr>
        <w:t>p</w:t>
      </w:r>
      <w:r w:rsidR="00B94686" w:rsidRPr="007C27A5">
        <w:rPr>
          <w:rFonts w:ascii="Segoe UI" w:hAnsi="Segoe UI" w:cs="Segoe UI"/>
          <w:sz w:val="24"/>
          <w:szCs w:val="24"/>
        </w:rPr>
        <w:t>age 27</w:t>
      </w:r>
    </w:p>
    <w:p w:rsidR="00B94686" w:rsidRPr="007C27A5" w:rsidRDefault="00B94686" w:rsidP="00B94686">
      <w:pPr>
        <w:rPr>
          <w:rFonts w:ascii="Segoe UI" w:hAnsi="Segoe UI" w:cs="Segoe UI"/>
          <w:sz w:val="24"/>
          <w:szCs w:val="24"/>
        </w:rPr>
      </w:pPr>
      <w:r w:rsidRPr="007C27A5">
        <w:rPr>
          <w:rFonts w:ascii="Segoe UI" w:hAnsi="Segoe UI" w:cs="Segoe UI"/>
          <w:sz w:val="24"/>
          <w:szCs w:val="24"/>
        </w:rPr>
        <w:t>‘For the avoidance of doubt an employee of the HSE cannot act as a data processor of personal data for the provision of healthcare.’</w:t>
      </w:r>
    </w:p>
    <w:p w:rsidR="00B94686" w:rsidRPr="007C27A5" w:rsidRDefault="00DF771C" w:rsidP="00B94686">
      <w:pPr>
        <w:pStyle w:val="ListParagraph"/>
        <w:numPr>
          <w:ilvl w:val="0"/>
          <w:numId w:val="1"/>
        </w:numPr>
        <w:rPr>
          <w:rFonts w:ascii="Segoe UI" w:hAnsi="Segoe UI" w:cs="Segoe UI"/>
          <w:sz w:val="24"/>
          <w:szCs w:val="24"/>
        </w:rPr>
      </w:pPr>
      <w:r>
        <w:rPr>
          <w:rFonts w:ascii="Segoe UI" w:hAnsi="Segoe UI" w:cs="Segoe UI"/>
          <w:sz w:val="24"/>
          <w:szCs w:val="24"/>
        </w:rPr>
        <w:t>p</w:t>
      </w:r>
      <w:r w:rsidR="00B94686" w:rsidRPr="007C27A5">
        <w:rPr>
          <w:rFonts w:ascii="Segoe UI" w:hAnsi="Segoe UI" w:cs="Segoe UI"/>
          <w:sz w:val="24"/>
          <w:szCs w:val="24"/>
        </w:rPr>
        <w:t>age 27</w:t>
      </w:r>
    </w:p>
    <w:p w:rsidR="00550051" w:rsidRPr="007C27A5" w:rsidRDefault="00DF771C" w:rsidP="00550051">
      <w:pPr>
        <w:autoSpaceDE w:val="0"/>
        <w:autoSpaceDN w:val="0"/>
        <w:adjustRightInd w:val="0"/>
        <w:spacing w:after="0" w:line="240" w:lineRule="auto"/>
        <w:rPr>
          <w:rFonts w:ascii="Segoe UI" w:hAnsi="Segoe UI" w:cs="Segoe UI"/>
          <w:sz w:val="24"/>
          <w:szCs w:val="24"/>
        </w:rPr>
      </w:pPr>
      <w:r>
        <w:rPr>
          <w:rFonts w:ascii="Segoe UI" w:hAnsi="Segoe UI" w:cs="Segoe UI"/>
          <w:sz w:val="24"/>
          <w:szCs w:val="24"/>
        </w:rPr>
        <w:t>‘</w:t>
      </w:r>
      <w:r w:rsidR="00550051" w:rsidRPr="007C27A5">
        <w:rPr>
          <w:rFonts w:ascii="Segoe UI" w:hAnsi="Segoe UI" w:cs="Segoe UI"/>
          <w:sz w:val="24"/>
          <w:szCs w:val="24"/>
        </w:rPr>
        <w:t xml:space="preserve">A data processor is defined as </w:t>
      </w:r>
      <w:r w:rsidR="00550051" w:rsidRPr="007C27A5">
        <w:rPr>
          <w:rFonts w:ascii="Segoe UI" w:hAnsi="Segoe UI" w:cs="Segoe UI"/>
          <w:sz w:val="24"/>
          <w:szCs w:val="24"/>
          <w:u w:val="single"/>
        </w:rPr>
        <w:t>the organisation</w:t>
      </w:r>
      <w:r w:rsidR="00550051" w:rsidRPr="007C27A5">
        <w:rPr>
          <w:rFonts w:ascii="Segoe UI" w:hAnsi="Segoe UI" w:cs="Segoe UI"/>
          <w:sz w:val="24"/>
          <w:szCs w:val="24"/>
        </w:rPr>
        <w:t xml:space="preserve"> that processes personal data</w:t>
      </w:r>
    </w:p>
    <w:p w:rsidR="00550051" w:rsidRPr="00DF771C" w:rsidRDefault="00550051" w:rsidP="00550051">
      <w:pPr>
        <w:autoSpaceDE w:val="0"/>
        <w:autoSpaceDN w:val="0"/>
        <w:adjustRightInd w:val="0"/>
        <w:spacing w:after="0" w:line="240" w:lineRule="auto"/>
        <w:rPr>
          <w:rFonts w:ascii="Segoe UI" w:hAnsi="Segoe UI" w:cs="Segoe UI"/>
          <w:sz w:val="24"/>
          <w:szCs w:val="24"/>
          <w:u w:val="single"/>
        </w:rPr>
      </w:pPr>
      <w:proofErr w:type="gramStart"/>
      <w:r w:rsidRPr="007C27A5">
        <w:rPr>
          <w:rFonts w:ascii="Segoe UI" w:hAnsi="Segoe UI" w:cs="Segoe UI"/>
          <w:sz w:val="24"/>
          <w:szCs w:val="24"/>
        </w:rPr>
        <w:t>on</w:t>
      </w:r>
      <w:proofErr w:type="gramEnd"/>
      <w:r w:rsidRPr="007C27A5">
        <w:rPr>
          <w:rFonts w:ascii="Segoe UI" w:hAnsi="Segoe UI" w:cs="Segoe UI"/>
          <w:sz w:val="24"/>
          <w:szCs w:val="24"/>
        </w:rPr>
        <w:t xml:space="preserve"> behalf of, and under the instruction of, the data controller (i.e. </w:t>
      </w:r>
      <w:bookmarkStart w:id="0" w:name="_GoBack"/>
      <w:r w:rsidRPr="00DF771C">
        <w:rPr>
          <w:rFonts w:ascii="Segoe UI" w:hAnsi="Segoe UI" w:cs="Segoe UI"/>
          <w:sz w:val="24"/>
          <w:szCs w:val="24"/>
          <w:u w:val="single"/>
        </w:rPr>
        <w:t>two distinct</w:t>
      </w:r>
    </w:p>
    <w:p w:rsidR="002D506D" w:rsidRPr="007C27A5" w:rsidRDefault="00550051" w:rsidP="00550051">
      <w:pPr>
        <w:autoSpaceDE w:val="0"/>
        <w:autoSpaceDN w:val="0"/>
        <w:adjustRightInd w:val="0"/>
        <w:spacing w:after="0" w:line="240" w:lineRule="auto"/>
        <w:rPr>
          <w:rFonts w:ascii="Segoe UI" w:hAnsi="Segoe UI" w:cs="Segoe UI"/>
          <w:sz w:val="24"/>
          <w:szCs w:val="24"/>
        </w:rPr>
      </w:pPr>
      <w:proofErr w:type="gramStart"/>
      <w:r w:rsidRPr="00DF771C">
        <w:rPr>
          <w:rFonts w:ascii="Segoe UI" w:hAnsi="Segoe UI" w:cs="Segoe UI"/>
          <w:sz w:val="24"/>
          <w:szCs w:val="24"/>
          <w:u w:val="single"/>
        </w:rPr>
        <w:t>organisations</w:t>
      </w:r>
      <w:bookmarkEnd w:id="0"/>
      <w:proofErr w:type="gramEnd"/>
      <w:r w:rsidRPr="007C27A5">
        <w:rPr>
          <w:rFonts w:ascii="Segoe UI" w:hAnsi="Segoe UI" w:cs="Segoe UI"/>
          <w:sz w:val="24"/>
          <w:szCs w:val="24"/>
        </w:rPr>
        <w:t>).</w:t>
      </w:r>
      <w:r w:rsidR="002D506D" w:rsidRPr="007C27A5">
        <w:rPr>
          <w:rFonts w:ascii="Segoe UI" w:hAnsi="Segoe UI" w:cs="Segoe UI"/>
          <w:sz w:val="24"/>
          <w:szCs w:val="24"/>
        </w:rPr>
        <w:t>’</w:t>
      </w:r>
    </w:p>
    <w:p w:rsidR="002D506D" w:rsidRPr="007C27A5" w:rsidRDefault="002D506D" w:rsidP="00550051">
      <w:pPr>
        <w:autoSpaceDE w:val="0"/>
        <w:autoSpaceDN w:val="0"/>
        <w:adjustRightInd w:val="0"/>
        <w:spacing w:after="0" w:line="240" w:lineRule="auto"/>
        <w:rPr>
          <w:rFonts w:ascii="Segoe UI" w:hAnsi="Segoe UI" w:cs="Segoe UI"/>
          <w:sz w:val="24"/>
          <w:szCs w:val="24"/>
        </w:rPr>
      </w:pPr>
    </w:p>
    <w:p w:rsidR="008E3A47" w:rsidRPr="007C27A5" w:rsidRDefault="00DF771C" w:rsidP="002D506D">
      <w:pPr>
        <w:pStyle w:val="ListParagraph"/>
        <w:numPr>
          <w:ilvl w:val="0"/>
          <w:numId w:val="1"/>
        </w:numPr>
        <w:autoSpaceDE w:val="0"/>
        <w:autoSpaceDN w:val="0"/>
        <w:adjustRightInd w:val="0"/>
        <w:spacing w:after="0" w:line="240" w:lineRule="auto"/>
        <w:rPr>
          <w:rFonts w:ascii="Segoe UI" w:hAnsi="Segoe UI" w:cs="Segoe UI"/>
          <w:sz w:val="24"/>
          <w:szCs w:val="24"/>
        </w:rPr>
      </w:pPr>
      <w:r>
        <w:rPr>
          <w:rFonts w:ascii="Segoe UI" w:hAnsi="Segoe UI" w:cs="Segoe UI"/>
          <w:sz w:val="24"/>
          <w:szCs w:val="24"/>
        </w:rPr>
        <w:t>p</w:t>
      </w:r>
      <w:r w:rsidR="002D506D" w:rsidRPr="007C27A5">
        <w:rPr>
          <w:rFonts w:ascii="Segoe UI" w:hAnsi="Segoe UI" w:cs="Segoe UI"/>
          <w:sz w:val="24"/>
          <w:szCs w:val="24"/>
        </w:rPr>
        <w:t>age 27</w:t>
      </w:r>
      <w:r w:rsidR="00550051" w:rsidRPr="007C27A5">
        <w:rPr>
          <w:rFonts w:ascii="Segoe UI" w:hAnsi="Segoe UI" w:cs="Segoe UI"/>
          <w:sz w:val="24"/>
          <w:szCs w:val="24"/>
        </w:rPr>
        <w:t xml:space="preserve"> </w:t>
      </w:r>
    </w:p>
    <w:p w:rsidR="008E3A47" w:rsidRPr="007C27A5" w:rsidRDefault="008E3A47" w:rsidP="00550051">
      <w:pPr>
        <w:autoSpaceDE w:val="0"/>
        <w:autoSpaceDN w:val="0"/>
        <w:adjustRightInd w:val="0"/>
        <w:spacing w:after="0" w:line="240" w:lineRule="auto"/>
        <w:rPr>
          <w:rFonts w:ascii="Segoe UI" w:hAnsi="Segoe UI" w:cs="Segoe UI"/>
          <w:sz w:val="24"/>
          <w:szCs w:val="24"/>
        </w:rPr>
      </w:pPr>
    </w:p>
    <w:p w:rsidR="00550051" w:rsidRDefault="00DF771C" w:rsidP="00DF771C">
      <w:pPr>
        <w:autoSpaceDE w:val="0"/>
        <w:autoSpaceDN w:val="0"/>
        <w:adjustRightInd w:val="0"/>
        <w:spacing w:after="0" w:line="240" w:lineRule="auto"/>
        <w:rPr>
          <w:rFonts w:ascii="Segoe UI" w:hAnsi="Segoe UI" w:cs="Segoe UI"/>
          <w:sz w:val="24"/>
          <w:szCs w:val="24"/>
        </w:rPr>
      </w:pPr>
      <w:r w:rsidRPr="00DF771C">
        <w:rPr>
          <w:rFonts w:ascii="Segoe UI" w:hAnsi="Segoe UI" w:cs="Segoe UI"/>
          <w:b/>
          <w:color w:val="FF0000"/>
          <w:lang w:val="en-GB"/>
        </w:rPr>
        <w:t>NB</w:t>
      </w:r>
      <w:r>
        <w:rPr>
          <w:rFonts w:ascii="Segoe UI" w:hAnsi="Segoe UI" w:cs="Segoe UI"/>
          <w:sz w:val="24"/>
          <w:szCs w:val="24"/>
        </w:rPr>
        <w:t xml:space="preserve"> ‘</w:t>
      </w:r>
      <w:r w:rsidR="00550051" w:rsidRPr="007C27A5">
        <w:rPr>
          <w:rFonts w:ascii="Segoe UI" w:hAnsi="Segoe UI" w:cs="Segoe UI"/>
          <w:sz w:val="24"/>
          <w:szCs w:val="24"/>
        </w:rPr>
        <w:t>Disclosure of personal data that is held by the HSE to a third</w:t>
      </w:r>
      <w:r w:rsidR="008E3A47" w:rsidRPr="007C27A5">
        <w:rPr>
          <w:rFonts w:ascii="Segoe UI" w:hAnsi="Segoe UI" w:cs="Segoe UI"/>
          <w:sz w:val="24"/>
          <w:szCs w:val="24"/>
        </w:rPr>
        <w:t xml:space="preserve"> </w:t>
      </w:r>
      <w:r w:rsidR="00550051" w:rsidRPr="007C27A5">
        <w:rPr>
          <w:rFonts w:ascii="Segoe UI" w:hAnsi="Segoe UI" w:cs="Segoe UI"/>
          <w:sz w:val="24"/>
          <w:szCs w:val="24"/>
        </w:rPr>
        <w:t>party</w:t>
      </w:r>
      <w:r>
        <w:rPr>
          <w:rFonts w:ascii="Segoe UI" w:hAnsi="Segoe UI" w:cs="Segoe UI"/>
          <w:sz w:val="24"/>
          <w:szCs w:val="24"/>
        </w:rPr>
        <w:t xml:space="preserve"> </w:t>
      </w:r>
      <w:r w:rsidR="00550051" w:rsidRPr="007C27A5">
        <w:rPr>
          <w:rFonts w:ascii="Segoe UI" w:hAnsi="Segoe UI" w:cs="Segoe UI"/>
          <w:sz w:val="24"/>
          <w:szCs w:val="24"/>
        </w:rPr>
        <w:t>is a processing operation, but such disclosure does not make the HSE a</w:t>
      </w:r>
      <w:r>
        <w:rPr>
          <w:rFonts w:ascii="Segoe UI" w:hAnsi="Segoe UI" w:cs="Segoe UI"/>
          <w:sz w:val="24"/>
          <w:szCs w:val="24"/>
        </w:rPr>
        <w:t xml:space="preserve"> </w:t>
      </w:r>
      <w:r w:rsidR="00550051" w:rsidRPr="007C27A5">
        <w:rPr>
          <w:rFonts w:ascii="Segoe UI" w:hAnsi="Segoe UI" w:cs="Segoe UI"/>
          <w:sz w:val="24"/>
          <w:szCs w:val="24"/>
        </w:rPr>
        <w:t>data processor.”</w:t>
      </w:r>
    </w:p>
    <w:p w:rsidR="00DF771C" w:rsidRPr="007C27A5" w:rsidRDefault="00DF771C" w:rsidP="00DF771C">
      <w:pPr>
        <w:autoSpaceDE w:val="0"/>
        <w:autoSpaceDN w:val="0"/>
        <w:adjustRightInd w:val="0"/>
        <w:spacing w:after="0" w:line="240" w:lineRule="auto"/>
        <w:rPr>
          <w:rFonts w:ascii="Segoe UI" w:hAnsi="Segoe UI" w:cs="Segoe UI"/>
          <w:sz w:val="24"/>
          <w:szCs w:val="24"/>
        </w:rPr>
      </w:pPr>
    </w:p>
    <w:p w:rsidR="00550051" w:rsidRPr="007C27A5" w:rsidRDefault="00550051" w:rsidP="00550051">
      <w:pPr>
        <w:pStyle w:val="ListParagraph"/>
        <w:numPr>
          <w:ilvl w:val="0"/>
          <w:numId w:val="1"/>
        </w:numPr>
        <w:rPr>
          <w:rFonts w:ascii="Segoe UI" w:hAnsi="Segoe UI" w:cs="Segoe UI"/>
        </w:rPr>
      </w:pPr>
      <w:r w:rsidRPr="007C27A5">
        <w:rPr>
          <w:rFonts w:ascii="Segoe UI" w:hAnsi="Segoe UI" w:cs="Segoe UI"/>
        </w:rPr>
        <w:t>Page 27</w:t>
      </w:r>
    </w:p>
    <w:p w:rsidR="000A2C1B" w:rsidRPr="007C27A5" w:rsidRDefault="000A2C1B" w:rsidP="004968E7">
      <w:pPr>
        <w:pStyle w:val="ListParagraph"/>
        <w:rPr>
          <w:rFonts w:ascii="Segoe UI" w:hAnsi="Segoe UI" w:cs="Segoe UI"/>
        </w:rPr>
      </w:pPr>
    </w:p>
    <w:p w:rsidR="000A2C1B" w:rsidRPr="007C27A5" w:rsidRDefault="000A2C1B" w:rsidP="000A2C1B">
      <w:pPr>
        <w:jc w:val="center"/>
        <w:rPr>
          <w:rFonts w:ascii="Segoe UI" w:hAnsi="Segoe UI" w:cs="Segoe UI"/>
        </w:rPr>
      </w:pPr>
      <w:r w:rsidRPr="007C27A5">
        <w:rPr>
          <w:rFonts w:ascii="Segoe UI" w:hAnsi="Segoe UI" w:cs="Segoe UI"/>
          <w:b/>
          <w:lang w:val="en-GB"/>
        </w:rPr>
        <w:t>Plans in respect of data governance</w:t>
      </w:r>
    </w:p>
    <w:p w:rsidR="00550051" w:rsidRPr="007C27A5" w:rsidRDefault="00550051" w:rsidP="00550051">
      <w:pPr>
        <w:autoSpaceDE w:val="0"/>
        <w:autoSpaceDN w:val="0"/>
        <w:adjustRightInd w:val="0"/>
        <w:spacing w:after="0" w:line="240" w:lineRule="auto"/>
        <w:rPr>
          <w:rFonts w:ascii="Segoe UI" w:hAnsi="Segoe UI" w:cs="Segoe UI"/>
          <w:sz w:val="24"/>
          <w:szCs w:val="24"/>
        </w:rPr>
      </w:pPr>
      <w:r w:rsidRPr="007C27A5">
        <w:rPr>
          <w:rFonts w:ascii="Segoe UI" w:hAnsi="Segoe UI" w:cs="Segoe UI"/>
          <w:sz w:val="24"/>
          <w:szCs w:val="24"/>
        </w:rPr>
        <w:t xml:space="preserve">“The implementation of the framework will require the development of </w:t>
      </w:r>
      <w:r w:rsidRPr="007C27A5">
        <w:rPr>
          <w:rFonts w:ascii="Segoe UI" w:hAnsi="Segoe UI" w:cs="Segoe UI"/>
          <w:b/>
          <w:bCs/>
          <w:sz w:val="24"/>
          <w:szCs w:val="24"/>
        </w:rPr>
        <w:t xml:space="preserve">Research Offices </w:t>
      </w:r>
      <w:r w:rsidRPr="007C27A5">
        <w:rPr>
          <w:rFonts w:ascii="Segoe UI" w:hAnsi="Segoe UI" w:cs="Segoe UI"/>
          <w:sz w:val="24"/>
          <w:szCs w:val="24"/>
        </w:rPr>
        <w:t xml:space="preserve">at local, regional and national levels to coordinate these services and support staff to obtain the relevant approvals, </w:t>
      </w:r>
      <w:r w:rsidRPr="007C27A5">
        <w:rPr>
          <w:rFonts w:ascii="Segoe UI" w:hAnsi="Segoe UI" w:cs="Segoe UI"/>
          <w:b/>
          <w:sz w:val="24"/>
          <w:szCs w:val="24"/>
        </w:rPr>
        <w:t>as well as streamlined involvement of the relevant Data Protection officers for the host services when required</w:t>
      </w:r>
      <w:r w:rsidRPr="007C27A5">
        <w:rPr>
          <w:rFonts w:ascii="Segoe UI" w:hAnsi="Segoe UI" w:cs="Segoe UI"/>
          <w:sz w:val="24"/>
          <w:szCs w:val="24"/>
        </w:rPr>
        <w:t>.”</w:t>
      </w:r>
    </w:p>
    <w:p w:rsidR="000A2C1B" w:rsidRPr="007C27A5" w:rsidRDefault="000A2C1B" w:rsidP="000A2C1B">
      <w:pPr>
        <w:rPr>
          <w:rFonts w:ascii="Segoe UI" w:hAnsi="Segoe UI" w:cs="Segoe UI"/>
          <w:sz w:val="24"/>
          <w:szCs w:val="24"/>
        </w:rPr>
      </w:pPr>
    </w:p>
    <w:p w:rsidR="000A2C1B" w:rsidRPr="007C27A5" w:rsidRDefault="002D506D" w:rsidP="000A2C1B">
      <w:pPr>
        <w:pStyle w:val="ListParagraph"/>
        <w:numPr>
          <w:ilvl w:val="0"/>
          <w:numId w:val="1"/>
        </w:numPr>
        <w:rPr>
          <w:rFonts w:ascii="Segoe UI" w:hAnsi="Segoe UI" w:cs="Segoe UI"/>
        </w:rPr>
      </w:pPr>
      <w:r w:rsidRPr="007C27A5">
        <w:rPr>
          <w:rFonts w:ascii="Segoe UI" w:hAnsi="Segoe UI" w:cs="Segoe UI"/>
        </w:rPr>
        <w:t>Page 27</w:t>
      </w:r>
    </w:p>
    <w:p w:rsidR="000A2C1B" w:rsidRPr="007C27A5" w:rsidRDefault="000A2C1B" w:rsidP="00550051">
      <w:pPr>
        <w:autoSpaceDE w:val="0"/>
        <w:autoSpaceDN w:val="0"/>
        <w:adjustRightInd w:val="0"/>
        <w:spacing w:after="0" w:line="240" w:lineRule="auto"/>
        <w:rPr>
          <w:rFonts w:ascii="Segoe UI" w:hAnsi="Segoe UI" w:cs="Segoe UI"/>
          <w:sz w:val="20"/>
          <w:szCs w:val="20"/>
        </w:rPr>
      </w:pPr>
    </w:p>
    <w:p w:rsidR="00B74543" w:rsidRPr="007C27A5" w:rsidRDefault="00B74543" w:rsidP="00550051">
      <w:pPr>
        <w:autoSpaceDE w:val="0"/>
        <w:autoSpaceDN w:val="0"/>
        <w:adjustRightInd w:val="0"/>
        <w:spacing w:after="0" w:line="240" w:lineRule="auto"/>
        <w:rPr>
          <w:rFonts w:ascii="Segoe UI" w:hAnsi="Segoe UI" w:cs="Segoe UI"/>
          <w:sz w:val="20"/>
          <w:szCs w:val="20"/>
        </w:rPr>
      </w:pPr>
    </w:p>
    <w:p w:rsidR="000A2C1B" w:rsidRPr="007C27A5" w:rsidRDefault="000A2C1B" w:rsidP="00550051">
      <w:pPr>
        <w:autoSpaceDE w:val="0"/>
        <w:autoSpaceDN w:val="0"/>
        <w:adjustRightInd w:val="0"/>
        <w:spacing w:after="0" w:line="240" w:lineRule="auto"/>
        <w:rPr>
          <w:rFonts w:ascii="Segoe UI" w:hAnsi="Segoe UI" w:cs="Segoe UI"/>
          <w:sz w:val="24"/>
          <w:szCs w:val="24"/>
        </w:rPr>
      </w:pPr>
    </w:p>
    <w:p w:rsidR="00550051" w:rsidRPr="007C27A5" w:rsidRDefault="00550051" w:rsidP="00550051">
      <w:pPr>
        <w:autoSpaceDE w:val="0"/>
        <w:autoSpaceDN w:val="0"/>
        <w:adjustRightInd w:val="0"/>
        <w:spacing w:after="0" w:line="240" w:lineRule="auto"/>
        <w:rPr>
          <w:rFonts w:ascii="Segoe UI" w:hAnsi="Segoe UI" w:cs="Segoe UI"/>
          <w:sz w:val="24"/>
          <w:szCs w:val="24"/>
        </w:rPr>
      </w:pPr>
      <w:r w:rsidRPr="007C27A5">
        <w:rPr>
          <w:rFonts w:ascii="Segoe UI" w:hAnsi="Segoe UI" w:cs="Segoe UI"/>
          <w:sz w:val="24"/>
          <w:szCs w:val="24"/>
        </w:rPr>
        <w:t>•</w:t>
      </w:r>
      <w:r w:rsidR="00B74543" w:rsidRPr="007C27A5">
        <w:rPr>
          <w:rFonts w:ascii="Segoe UI" w:hAnsi="Segoe UI" w:cs="Segoe UI"/>
          <w:sz w:val="24"/>
          <w:szCs w:val="24"/>
        </w:rPr>
        <w:t xml:space="preserve"> </w:t>
      </w:r>
      <w:hyperlink r:id="rId6" w:history="1">
        <w:r w:rsidR="00B74543" w:rsidRPr="007C27A5">
          <w:rPr>
            <w:rStyle w:val="Hyperlink"/>
            <w:rFonts w:ascii="Segoe UI" w:hAnsi="Segoe UI" w:cs="Segoe UI"/>
            <w:sz w:val="24"/>
            <w:szCs w:val="24"/>
          </w:rPr>
          <w:t>https://hseresearch.ie/wp-content/uploads/2021/09/HSE-Framework-for-the-Governance-Web-Optimised.pdf</w:t>
        </w:r>
      </w:hyperlink>
    </w:p>
    <w:p w:rsidR="00B74543" w:rsidRPr="007C27A5" w:rsidRDefault="00B74543" w:rsidP="00550051">
      <w:pPr>
        <w:autoSpaceDE w:val="0"/>
        <w:autoSpaceDN w:val="0"/>
        <w:adjustRightInd w:val="0"/>
        <w:spacing w:after="0" w:line="240" w:lineRule="auto"/>
        <w:rPr>
          <w:rFonts w:ascii="Segoe UI" w:hAnsi="Segoe UI" w:cs="Segoe UI"/>
          <w:sz w:val="24"/>
          <w:szCs w:val="24"/>
        </w:rPr>
      </w:pPr>
    </w:p>
    <w:sectPr w:rsidR="00B74543" w:rsidRPr="007C2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Sans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4A3F"/>
    <w:multiLevelType w:val="hybridMultilevel"/>
    <w:tmpl w:val="B93CC636"/>
    <w:lvl w:ilvl="0" w:tplc="0900B52A">
      <w:numFmt w:val="bullet"/>
      <w:lvlText w:val="-"/>
      <w:lvlJc w:val="left"/>
      <w:pPr>
        <w:ind w:left="720" w:hanging="360"/>
      </w:pPr>
      <w:rPr>
        <w:rFonts w:ascii="Segoe UI" w:eastAsia="Times New Roman" w:hAnsi="Segoe UI" w:cs="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A47716B"/>
    <w:multiLevelType w:val="hybridMultilevel"/>
    <w:tmpl w:val="12606BFA"/>
    <w:lvl w:ilvl="0" w:tplc="F83012F8">
      <w:numFmt w:val="bullet"/>
      <w:lvlText w:val="-"/>
      <w:lvlJc w:val="left"/>
      <w:pPr>
        <w:ind w:left="720" w:hanging="360"/>
      </w:pPr>
      <w:rPr>
        <w:rFonts w:ascii="SourceSansPro-Regular" w:eastAsiaTheme="minorHAnsi" w:hAnsi="SourceSansPro-Regular" w:cs="SourceSansPro-Regular"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51"/>
    <w:rsid w:val="000A2C1B"/>
    <w:rsid w:val="00247A79"/>
    <w:rsid w:val="002D506D"/>
    <w:rsid w:val="004024C0"/>
    <w:rsid w:val="004968E7"/>
    <w:rsid w:val="004A4420"/>
    <w:rsid w:val="00550051"/>
    <w:rsid w:val="005C3F62"/>
    <w:rsid w:val="00633E75"/>
    <w:rsid w:val="007C27A5"/>
    <w:rsid w:val="008C0AA7"/>
    <w:rsid w:val="008C3697"/>
    <w:rsid w:val="008E3A47"/>
    <w:rsid w:val="0094452C"/>
    <w:rsid w:val="00B74543"/>
    <w:rsid w:val="00B94686"/>
    <w:rsid w:val="00C63264"/>
    <w:rsid w:val="00DF77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051"/>
    <w:pPr>
      <w:ind w:left="720"/>
      <w:contextualSpacing/>
    </w:pPr>
  </w:style>
  <w:style w:type="paragraph" w:styleId="NormalWeb">
    <w:name w:val="Normal (Web)"/>
    <w:basedOn w:val="Normal"/>
    <w:uiPriority w:val="99"/>
    <w:unhideWhenUsed/>
    <w:rsid w:val="000A2C1B"/>
    <w:pPr>
      <w:spacing w:before="100" w:beforeAutospacing="1" w:after="300"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B745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051"/>
    <w:pPr>
      <w:ind w:left="720"/>
      <w:contextualSpacing/>
    </w:pPr>
  </w:style>
  <w:style w:type="paragraph" w:styleId="NormalWeb">
    <w:name w:val="Normal (Web)"/>
    <w:basedOn w:val="Normal"/>
    <w:uiPriority w:val="99"/>
    <w:unhideWhenUsed/>
    <w:rsid w:val="000A2C1B"/>
    <w:pPr>
      <w:spacing w:before="100" w:beforeAutospacing="1" w:after="300"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B745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731921">
      <w:bodyDiv w:val="1"/>
      <w:marLeft w:val="0"/>
      <w:marRight w:val="0"/>
      <w:marTop w:val="0"/>
      <w:marBottom w:val="0"/>
      <w:divBdr>
        <w:top w:val="none" w:sz="0" w:space="0" w:color="auto"/>
        <w:left w:val="none" w:sz="0" w:space="0" w:color="auto"/>
        <w:bottom w:val="none" w:sz="0" w:space="0" w:color="auto"/>
        <w:right w:val="none" w:sz="0" w:space="0" w:color="auto"/>
      </w:divBdr>
      <w:divsChild>
        <w:div w:id="124743068">
          <w:marLeft w:val="0"/>
          <w:marRight w:val="0"/>
          <w:marTop w:val="0"/>
          <w:marBottom w:val="0"/>
          <w:divBdr>
            <w:top w:val="none" w:sz="0" w:space="0" w:color="auto"/>
            <w:left w:val="none" w:sz="0" w:space="0" w:color="auto"/>
            <w:bottom w:val="none" w:sz="0" w:space="0" w:color="auto"/>
            <w:right w:val="none" w:sz="0" w:space="0" w:color="auto"/>
          </w:divBdr>
          <w:divsChild>
            <w:div w:id="65342455">
              <w:marLeft w:val="0"/>
              <w:marRight w:val="0"/>
              <w:marTop w:val="0"/>
              <w:marBottom w:val="0"/>
              <w:divBdr>
                <w:top w:val="none" w:sz="0" w:space="0" w:color="auto"/>
                <w:left w:val="none" w:sz="0" w:space="0" w:color="auto"/>
                <w:bottom w:val="none" w:sz="0" w:space="0" w:color="auto"/>
                <w:right w:val="none" w:sz="0" w:space="0" w:color="auto"/>
              </w:divBdr>
              <w:divsChild>
                <w:div w:id="1726837264">
                  <w:marLeft w:val="-225"/>
                  <w:marRight w:val="-225"/>
                  <w:marTop w:val="0"/>
                  <w:marBottom w:val="0"/>
                  <w:divBdr>
                    <w:top w:val="none" w:sz="0" w:space="0" w:color="auto"/>
                    <w:left w:val="none" w:sz="0" w:space="0" w:color="auto"/>
                    <w:bottom w:val="none" w:sz="0" w:space="0" w:color="auto"/>
                    <w:right w:val="none" w:sz="0" w:space="0" w:color="auto"/>
                  </w:divBdr>
                  <w:divsChild>
                    <w:div w:id="698360293">
                      <w:marLeft w:val="0"/>
                      <w:marRight w:val="0"/>
                      <w:marTop w:val="0"/>
                      <w:marBottom w:val="0"/>
                      <w:divBdr>
                        <w:top w:val="none" w:sz="0" w:space="0" w:color="auto"/>
                        <w:left w:val="none" w:sz="0" w:space="0" w:color="auto"/>
                        <w:bottom w:val="none" w:sz="0" w:space="0" w:color="auto"/>
                        <w:right w:val="none" w:sz="0" w:space="0" w:color="auto"/>
                      </w:divBdr>
                      <w:divsChild>
                        <w:div w:id="2493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seresearch.ie/wp-content/uploads/2021/09/HSE-Framework-for-the-Governance-Web-Optimised.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Beaumont Hospital</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Vale</dc:creator>
  <cp:lastModifiedBy>Gillian Vale</cp:lastModifiedBy>
  <cp:revision>9</cp:revision>
  <dcterms:created xsi:type="dcterms:W3CDTF">2021-09-09T11:00:00Z</dcterms:created>
  <dcterms:modified xsi:type="dcterms:W3CDTF">2021-09-18T10:58:00Z</dcterms:modified>
</cp:coreProperties>
</file>